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left"/>
        <w:rPr>
          <w:rFonts w:hint="default" w:ascii="Times New Roman" w:hAnsi="Times New Roman" w:eastAsia="黑体" w:cs="Times New Roman"/>
          <w:color w:val="auto"/>
          <w:sz w:val="32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28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28"/>
          <w:lang w:val="en-US" w:eastAsia="zh-CN"/>
        </w:rPr>
        <w:t>3</w:t>
      </w:r>
    </w:p>
    <w:p>
      <w:pPr>
        <w:spacing w:line="600" w:lineRule="atLeast"/>
        <w:jc w:val="center"/>
        <w:rPr>
          <w:rFonts w:hint="default" w:ascii="Times New Roman" w:hAnsi="Times New Roman" w:eastAsia="方正小标宋简体" w:cs="Times New Roman"/>
          <w:b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color w:val="auto"/>
          <w:sz w:val="44"/>
          <w:szCs w:val="44"/>
        </w:rPr>
        <w:t>四川省钒钛产业投资发展有限公司</w:t>
      </w:r>
    </w:p>
    <w:p>
      <w:pPr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招聘岗位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说明书</w:t>
      </w:r>
    </w:p>
    <w:bookmarkEnd w:id="0"/>
    <w:p>
      <w:pPr>
        <w:snapToGrid w:val="0"/>
        <w:spacing w:line="360" w:lineRule="auto"/>
        <w:jc w:val="center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lang w:val="en-US" w:eastAsia="zh-CN"/>
        </w:rPr>
        <w:t>审计法务部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招聘岗位说明书</w:t>
      </w:r>
    </w:p>
    <w:tbl>
      <w:tblPr>
        <w:tblStyle w:val="5"/>
        <w:tblW w:w="8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2"/>
        <w:gridCol w:w="2693"/>
        <w:gridCol w:w="1843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18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岗位名称</w:t>
            </w:r>
          </w:p>
        </w:tc>
        <w:tc>
          <w:tcPr>
            <w:tcW w:w="739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法务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188" w:type="dxa"/>
            <w:tcBorders>
              <w:bottom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工作职责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</w:rPr>
              <w:t>概述</w:t>
            </w:r>
          </w:p>
        </w:tc>
        <w:tc>
          <w:tcPr>
            <w:tcW w:w="7393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1.牵头制订、修订、废止、印发公司业务的合同文本、法律文书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及其他相关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对外签署的合同及协议文本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2.牵头制订公司法律合规治理的各项规章制度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对公司各项规章制度治理方法、操作规程、业务指引和各种法律性文件等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开展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合法、合规性审查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3.负责审核、修改和收集整理公司的各类协议、托付书、往来函件通知、说明、证明、申请、招投标文件、决议、规章制度等具有法律效力的相关文件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4.参加公司有关重大决议、规章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及其他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重要法律文件的合法、合规性审查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5.为公司经营活动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提供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法律询问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处理公司各类法律事务、法律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风险规避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和合同治理工作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协作相关部门处理合同争议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代表公司处理各类诉讼或非诉讼法律事务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6.参加外聘律师及律师事务所的联系和治理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7.负责公司对外信息披露材料的审核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581" w:type="dxa"/>
            <w:gridSpan w:val="5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1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政治面貌</w:t>
            </w:r>
          </w:p>
        </w:tc>
        <w:tc>
          <w:tcPr>
            <w:tcW w:w="7371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中共党员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1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受教育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程度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全日制本科及以上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(211\985\双一流大学毕业优先)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年龄要求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1979年1月1日及以后出生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1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工作经历</w:t>
            </w:r>
          </w:p>
        </w:tc>
        <w:tc>
          <w:tcPr>
            <w:tcW w:w="7371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21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相关工作经验</w:t>
            </w:r>
          </w:p>
        </w:tc>
        <w:tc>
          <w:tcPr>
            <w:tcW w:w="7371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具有5年以上公司法务工作经历，中大型企业、国企、上市企业法务从业经验优先。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21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专业技术相关要求</w:t>
            </w:r>
          </w:p>
        </w:tc>
        <w:tc>
          <w:tcPr>
            <w:tcW w:w="7371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通过国家司法考试者优先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1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职（执）业资格要求</w:t>
            </w:r>
          </w:p>
        </w:tc>
        <w:tc>
          <w:tcPr>
            <w:tcW w:w="7371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具有法律职业资格证书或律师执业证者优先。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1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工作地</w:t>
            </w:r>
          </w:p>
        </w:tc>
        <w:tc>
          <w:tcPr>
            <w:tcW w:w="7371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四川省攀枝花市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1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其他</w:t>
            </w:r>
          </w:p>
        </w:tc>
        <w:tc>
          <w:tcPr>
            <w:tcW w:w="7371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确因工作需要，特别优秀者相关条件可适当放宽。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仿宋" w:cs="Times New Roman"/>
          <w:color w:val="auto"/>
          <w:sz w:val="32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  <w14:ligatures w14:val="none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br w:type="page"/>
      </w:r>
    </w:p>
    <w:sectPr>
      <w:footerReference r:id="rId3" w:type="default"/>
      <w:pgSz w:w="11906" w:h="16838"/>
      <w:pgMar w:top="1440" w:right="1179" w:bottom="1440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